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eastAsia"/>
          <w:lang w:val="en-US" w:eastAsia="zh-CN"/>
        </w:rPr>
      </w:pPr>
      <w:bookmarkStart w:id="1" w:name="_GoBack"/>
      <w:r>
        <w:rPr>
          <w:rFonts w:hint="eastAsia"/>
        </w:rPr>
        <w:t>优化营商环境条例</w:t>
      </w:r>
    </w:p>
    <w:bookmarkEnd w:id="1"/>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第一章　总　则</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第一条　为了持续优化营商环境，不断解放和发展社会生产力，加快建设现代化经济体系，推动高质量发展，制定本条例。</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第二条　本条例所称营商环境，是指企业等市场主体在市场经济活动中所涉及的体制机制性因素和条件。</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第三条　国家持续深化简政放权、放管结合、优化服务改革，最大限度减少政府对市场资源的直接配置，最大限度减少政府对市场活动的直接干预，加强和规范事中事后监管，着力提升政务服务能力和水平，切实降低制度性交易成本，更大激发市场活力和社会创造力，增强发展动力。</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各级人民政府及其部门应当坚持政务公开透明，以公开为常态、不公开为例外，全面推进决策、执行、管理、服务、结果公开。</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第四条　优化营商环境应当坚持市场化、法治化、国际化原则，以市场主体需求为导向，以深刻转变政府职能为核心，创新体制机制、强化协同联动、完善法治保障，对标国际先进水平，为各类市场主体投资兴业营造稳定、公平、透明、可预期的良好环境。</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第五条　国家加快建立统一开放、竞争有序的现代市场体系，依法促进各类生产要素自由流动，保障各类市场主体公平参与市场竞争。</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第六条　国家鼓励、支持、引导非公有制经济发展，激发非公有制经济活力和创造力。</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国家进一步扩大对外开放，积极促进外商投资，平等对待内资企业、外商投资企业等各类市场主体。</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第七条　各级人民政府应当加强对优化营商环境工作的组织领导，完善优化营商环境的政策措施，建立健全统筹推进、督促落实优化营商环境工作的相关机制，及时协调、解决优化营商环境工作中的重大问题。</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县级以上人民政府有关部门应当按照职责分工，做好优化营商环境的相关工作。县级以上地方人民政府根据实际情况，可以明确优化营商环境工作的主管部门。</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国家鼓励和支持各地区、各部门结合实际情况，在法治框架内积极探索原创性、差异化的优化营商环境具体措施；对探索中出现失误或者偏差，符合规定条件的，可以予以免责或者减轻责任。</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第八条　国家建立和完善以市场主体和社会公众满意度为导向的营商环境评价体系，发挥营商环境评价对优化营商环境的引领和督促作用。</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开展营商环境评价，不得影响各地区、各部门正常工作，不得影响市场主体正常生产经营活动或者增加市场主体负担。</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任何单位不得利用营商环境评价谋取利益。</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第九条　市场主体应当遵守法律法规，恪守社会公德和商业道德，诚实守信、公平竞争，履行安全、质量、劳动者权益保护、消费者权益保护等方面的法定义务，在国际经贸活动中遵循国际通行规则。</w:t>
      </w:r>
      <w:bookmarkStart w:id="0" w:name="ref_[7]_24135568"/>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第二章　市场主体保护</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第十条　国家坚持权利平等、机会平等、规则平等，保障各种所有制经济平等受到法律保护。</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第十一条　市场主体依法享有经营自主权。对依法应当由市场主体自主决策的各类事项，任何单位和个人不得干预。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第十二条　国家保障各类市场主体依法平等使用资金、技术、人力资源、土地使用权及其他自然资源等各类生产要素和公共服务资源。</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各类市场主体依法平等适用国家支持发展的政策。政府及其有关部门在政府资金安排、土地供应、税费减免、资质许可、标准制定、项目申报、职称评定、人力资源政策等方面，应当依法平等对待各类市场主体，不得制定或者实施歧视性政策措施。</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第十三条　招标投标和政府采购应当公开透明、公平公正，依法平等对待各类所有制和不同地区的市场主体，不得以不合理条件或者产品产地来源等进行限制或者排斥。</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政府有关部门应当加强招标投标和政府采购监管，依法纠正和查处违法违规行为。</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第十四条　国家依法保护市场主体的财产权和其他合法权益，保护企业经营者人身和财产安全。</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严禁违反法定权限、条件、程序对市场主体的财产和企业经营者个人财产实施查封、冻结和扣押等行政强制措施；依法确需实施前述行政强制措施的，应当限定在所必需的范围内。</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禁止在法律、法规规定之外要求市场主体提供财力、物力或者人力的摊派行为。市场主体有权拒绝任何形式的摊派。</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第十五条　国家建立知识产权侵权惩罚性赔偿制度，推动建立知识产权快速协同保护机制，健全知识产权纠纷多元化解决机制和知识产权维权援助机制，加大对知识产权的保护力度。</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国家持续深化商标注册、专利申请便利化改革，提高商标注册、专利申请审查效率。</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第十六条　国家加大中小投资者权益保护力度，完善中小投资者权益保护机制，保障中小投资者的知情权、参与权，提升中小投资者维护合法权益的便利度。</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第十七条　除法律、法规另有规定外，市场主体有权自主决定加入或者退出行业协会商会等社会组织，任何单位和个人不得干预。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除法律、法规另有规定外，任何单位和个人不得强制或者变相强制市场主体参加评比、达标、表彰、培训、考核、考试以及类似活动，不得借前述活动向市场主体收费或者变相收费。</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第十八条　国家推动建立全国统一的市场主体维权服务平台，为市场主体提供高效、便捷的维权服务。</w:t>
      </w:r>
      <w:r>
        <w:rPr>
          <w:rFonts w:hint="eastAsia" w:ascii="仿宋_GB2312" w:hAnsi="仿宋_GB2312" w:eastAsia="仿宋_GB2312" w:cs="仿宋_GB2312"/>
          <w:i w:val="0"/>
          <w:caps w:val="0"/>
          <w:color w:val="3366CC"/>
          <w:spacing w:val="0"/>
          <w:kern w:val="0"/>
          <w:sz w:val="32"/>
          <w:szCs w:val="32"/>
          <w:bdr w:val="none" w:color="auto" w:sz="0" w:space="0"/>
          <w:shd w:val="clear" w:fill="FFFFFF"/>
          <w:vertAlign w:val="baseline"/>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第三章　市场环境</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第十九条　国家持续深化商事制度改革，统一企业登记业务规范，统一数据标准和平台服务接口，采用统一社会信用代码进行登记管理。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国家推进“证照分离”改革，持续精简涉企经营许可事项，依法采取直接取消审批、审批改为备案、实行告知承诺、优化审批服务等方式，对所有涉企经营许可事项进行分类管理，为企业取得营业执照后开展相关经营活动提供便利。除法律、行政法规规定的特定领域外，涉企经营许可事项不得作为企业登记的前置条件。</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政府有关部门应当按照国家有关规定，简化企业从申请设立到具备一般性经营条件所需办理的手续。在国家规定的企业开办时限内，各地区应当确定并公开具体办理时间。</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企业申请办理住所等相关变更登记的，有关部门应当依法及时办理，不得限制。除法律、法规、规章另有规定外，企业迁移后其持有的有效许可证件不再重复办理。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第二十条　国家持续放宽市场准入，并实行全国统一的市场准入负面清单制度。市场准入负面清单以外的领域，各类市场主体均可以依法平等进入。</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各地区、各部门不得另行制定市场准入性质的负面清单。</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第二十一条　政府有关部门应当加大反垄断和反不正当竞争执法力度，有效预防和制止市场经济活动中的垄断行为、不正当竞争行为以及滥用行政权力排除、限制竞争的行为，营造公平竞争的市场环境。</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第二十二条　国家建立健全统一开放、竞争有序的人力资源市场体系，打破城乡、地区、行业分割和身份、性别等歧视，促进人力资源有序社会性流动和合理配置。</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第二十三条　政府及其有关部门应当完善政策措施、强化创新服务，鼓励和支持市场主体拓展创新空间，持续推进产品、技术、商业模式、管理等创新，充分发挥市场主体在推动科技成果转化中的作用。</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第二十四条　政府及其有关部门应当严格落实国家各项减税降费政策，及时研究解决政策落实中的具体问题，确保减税降费政策全面、及时惠及市场主体。</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第二十五条　设立政府性基金、涉企行政事业性收费、涉企保证金，应当有法律、行政法规依据或者经国务院批准。对政府性基金、涉企行政事业性收费、涉企保证金以及实行政府定价的经营服务性收费，实行目录清单管理并向社会公开，目录清单之外的前述收费和保证金一律不得执行。推广以金融机构保函替代现金缴纳涉企保证金。</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第二十六条　国家鼓励和支持金融机构加大对民营企业、中小企业的支持力度，降低民营企业、中小企业综合融资成本。</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金融监督管理部门应当完善对商业银行等金融机构的监管考核和激励机制，鼓励、引导其增加对民营企业、中小企业的信贷投放，并合理增加中长期贷款和信用贷款支持，提高贷款审批效率。</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商业银行等金融机构在授信中不得设置不合理条件，不得对民营企业、中小企业设置歧视性要求。商业银行等金融机构应当按照国家有关规定规范收费行为，不得违规向服务对象收取不合理费用。商业银行应当向社会公开开设企业账户的服务标准、资费标准和办理时限。</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第二十七条　国家促进多层次资本市场规范健康发展，拓宽市场主体融资渠道，支持符合条件的民营企业、中小企业依法发行股票、债券以及其他融资工具，扩大直接融资规模。</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第二十八条　供水、供电、供气、供热等公用企事业单位应当向社会公开服务标准、资费标准等信息，为市场主体提供安全、便捷、稳定和价格合理的服务，不得强迫市场主体接受不合理的服务条件，不得以任何名义收取不合理费用。各地区应当优化报装流程，在国家规定的报装办理时限内确定并公开具体办理时间。</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政府有关部门应当加强对公用企事业单位运营的监督管理。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第二十九条　行业协会商会应当依照法律、法规和章程，加强行业自律，及时反映行业诉求，为市场主体提供信息咨询、宣传培训、市场拓展、权益保护、纠纷处理等方面的服务。</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国家依法严格规范行业协会商会的收费、评比、认证等行为。</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第三十条　国家加强社会信用体系建设，持续推进政务诚信、商务诚信、社会诚信和司法公信建设，提高全社会诚信意识和信用水平，维护信用信息安全，严格保护商业秘密和个人隐私。</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第三十一条　地方各级人民政府及其有关部门应当履行向市场主体依法作出的政策承诺以及依法订立的各类合同，不得以行政区划调整、政府换届、机构或者职能调整以及相关责任人更替等为由违约毁约。因国家利益、社会公共利益需要改变政策承诺、合同约定的，应当依照法定权限和程序进行，并依法对市场主体因此受到的损失予以补偿。</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第三十二条　国家机关、事业单位不得违约拖欠市场主体的货物、工程、服务等账款，大型企业不得利用优势地位拖欠中小企业账款。</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县级以上人民政府及其有关部门应当加大对国家机关、事业单位拖欠市场主体账款的清理力度，并通过加强预算管理、严格责任追究等措施，建立防范和治理国家机关、事业单位拖欠市场主体账款的长效机制。</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第三十三条　政府有关部门应当优化市场主体注销办理流程，精简申请材料、压缩办理时间、降低注销成本。对设立后未开展生产经营活动或者无债权债务的市场主体，可以按照简易程序办理注销。对有债权债务的市场主体，在债权债务依法解决后及时办理注销。</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县级以上地方人民政府应当根据需要建立企业破产工作协调机制，协调解决企业破产过程中涉及的有关问题。</w:t>
      </w:r>
      <w:r>
        <w:rPr>
          <w:rFonts w:hint="eastAsia" w:ascii="仿宋_GB2312" w:hAnsi="仿宋_GB2312" w:eastAsia="仿宋_GB2312" w:cs="仿宋_GB2312"/>
          <w:i w:val="0"/>
          <w:caps w:val="0"/>
          <w:color w:val="3366CC"/>
          <w:spacing w:val="0"/>
          <w:kern w:val="0"/>
          <w:sz w:val="32"/>
          <w:szCs w:val="32"/>
          <w:bdr w:val="none" w:color="auto" w:sz="0" w:space="0"/>
          <w:shd w:val="clear" w:fill="FFFFFF"/>
          <w:vertAlign w:val="baseline"/>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第四章　政务服务</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第三十四条　政府及其有关部门应当进一步增强服务意识，切实转变工作作风，为市场主体提供规范、便利、高效的政务服务。</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第三十五条　政府及其有关部门应当推进政务服务标准化，按照减环节、减材料、减时限的要求，编制并向社会公开政务服务事项（包括行政权力事项和公共服务事项，下同）标准化工作流程和办事指南，细化量化政务服务标准，压缩自由裁量权，推进同一事项实行无差别受理、同标准办理。没有法律、法规、规章依据，不得增设政务服务事项的办理条件和环节。</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第三十六条　政府及其有关部门办理政务服务事项，应当根据实际情况，推行当场办结、一次办结、限时办结等制度，实现集中办理、就近办理、网上办理、异地可办。需要市场主体补正有关材料、手续的，应当一次性告知需要补正的内容；需要进行现场踏勘、现场核查、技术审查、听证论证的，应当及时安排、限时办结。</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法律、法规、规章以及国家有关规定对政务服务事项办理时限有规定的，应当在规定的时限内尽快办结；没有规定的，应当按照合理、高效的原则确定办理时限并按时办结。各地区可以在国家规定的政务服务事项办理时限内进一步压减时间，并应当向社会公开；超过办理时间的，办理单位应当公开说明理由。</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地方各级人民政府已设立政务服务大厅的，本行政区域内各类政务服务事项一般应当进驻政务服务大厅统一办理。对政务服务大厅中部门分设的服务窗口，应当创造条件整合为综合窗口，提供一站式服务。</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第三十七条　国家加快建设全国一体化在线政务服务平台（以下称一体化在线平台），推动政务服务事项在全国范围内实现“一网通办”。除法律、法规另有规定或者涉及国家秘密等情形外，政务服务事项应当按照国务院确定的步骤，纳入一体化在线平台办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国家依托一体化在线平台，推动政务信息系统整合，优化政务流程，促进政务服务跨地区、跨部门、跨层级数据共享和业务协同。政府及其有关部门应当按照国家有关规定，提供数据共享服务，及时将有关政务服务数据上传至一体化在线平台，加强共享数据使用全过程管理，确保共享数据安全。</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国家建立电子证照共享服务系统，实现电子证照跨地区、跨部门共享和全国范围内互信互认。各地区、各部门应当加强电子证照的推广应用。</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各地区、各部门应当推动政务服务大厅与政务服务平台全面对接融合。市场主体有权自主选择政务服务办理渠道，行政机关不得限定办理渠道。</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第三十八条　政府及其有关部门应当通过政府网站、一体化在线平台，集中公布涉及市场主体的法律、法规、规章、行政规范性文件和各类政策措施，并通过多种途径和方式加强宣传解读。</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第三十九条　国家严格控制新设行政许可。新设行政许可应当按照行政许可法和国务院的规定严格设定标准，并进行合法性、必要性和合理性审查论证。对通过事中事后监管或者市场机制能够解决以及行政许可法和国务院规定不得设立行政许可的事项，一律不得设立行政许可，严禁以备案、登记、注册、目录、规划、年检、年报、监制、认定、认证、审定以及其他任何形式变相设定或者实施行政许可。</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法律、行政法规和国务院决定对相关管理事项已作出规定，但未采取行政许可管理方式的，地方不得就该事项设定行政许可。对相关管理事项尚未制定法律、行政法规的，地方可以依法就该事项设定行政许可。</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第四十条　国家实行行政许可清单管理制度，适时调整行政许可清单并向社会公布，清单之外不得违法实施行政许可。</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国家大力精简已有行政许可。对已取消的行政许可，行政机关不得继续实施或者变相实施，不得转由行业协会商会或者其他组织实施。</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对实行行政许可管理的事项，行政机关应当通过整合实施、下放审批层级等多种方式，优化审批服务，提高审批效率，减轻市场主体负担。符合相关条件和要求的，可以按照有关规定采取告知承诺的方式办理。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第四十一条　县级以上地方人民政府应当深化投资审批制度改革，根据项目性质、投资规模等分类规范投资审批程序，精简审批要件，简化技术审查事项，强化项目决策与用地、规划等建设条件落实的协同，实行与相关审批在线并联办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第四十二条　设区的市级以上地方人民政府应当按照国家有关规定，优化工程建设项目（不包括特殊工程和交通、水利、能源等领域的重大工程）审批流程，推行并联审批、多图联审、联合竣工验收等方式，简化审批手续，提高审批效能。</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在依法设立的开发区、新区和其他有条件的区域，按照国家有关规定推行区域评估，由设区的市级以上地方人民政府组织对一定区域内压覆重要矿产资源、地质灾害危险性等事项进行统一评估，不再对区域内的市场主体单独提出评估要求。区域评估的费用不得由市场主体承担。</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第四十三条　作为办理行政审批条件的中介服务事项（以下称法定行政审批中介服务）应当有法律、法规或者国务院决定依据；没有依据的，不得作为办理行政审批的条件。中介服务机构应当明确办理法定行政审批中介服务的条件、流程、时限、收费标准，并向社会公开。</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国家加快推进中介服务机构与行政机关脱钩。行政机关不得为市场主体指定或者变相指定中介服务机构；除法定行政审批中介服务外，不得强制或者变相强制市场主体接受中介服务。行政机关所属事业单位、主管的社会组织及其举办的企业不得开展与本机关所负责行政审批相关的中介服务，法律、行政法规另有规定的除外。</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行政机关在行政审批过程中需要委托中介服务机构开展技术性服务的，应当通过竞争性方式选择中介服务机构，并自行承担服务费用，不得转嫁给市场主体承担。</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第四十四条　证明事项应当有法律、法规或者国务院决定依据。</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设定证明事项，应当坚持确有必要、从严控制的原则。对通过法定证照、法定文书、书面告知承诺、政府部门内部核查和部门间核查、网络核验、合同凭证等能够办理，能够被其他材料涵盖或者替代，以及开具单位无法调查核实的，不得设定证明事项。</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政府有关部门应当公布证明事项清单，逐项列明设定依据、索要单位、开具单位、办理指南等。清单之外，政府部门、公用企事业单位和服务机构不得索要证明。各地区、各部门之间应当加强证明的互认共享，避免重复索要证明。</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第四十五条　政府及其有关部门应当按照国家促进跨境贸易便利化的有关要求，依法削减进出口环节审批事项，取消不必要的监管要求，优化简化通关流程，提高通关效率，清理规范口岸收费，降低通关成本，推动口岸和国际贸易领域相关业务统一通过国际贸易“单一窗口”办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第四十六条　税务机关应当精简办税资料和流程，简并申报缴税次数，公开涉税事项办理时限，压减办税时间，加大推广使用电子发票的力度，逐步实现全程网上办税，持续优化纳税服务。</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第四十七条　不动产登记机构应当按照国家有关规定，加强部门协作，实行不动产登记、交易和缴税一窗受理、并行办理，压缩办理时间，降低办理成本。在国家规定的不动产登记时限内，各地区应当确定并公开具体办理时间。</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国家推动建立统一的动产和权利担保登记公示系统，逐步实现市场主体在一个平台上办理动产和权利担保登记。纳入统一登记公示系统的动产和权利范围另行规定。</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第四十八条　政府及其有关部门应当按照构建亲清新型政商关系的要求，建立畅通有效的政企沟通机制，采取多种方式及时听取市场主体的反映和诉求，了解市场主体生产经营中遇到的困难和问题，并依法帮助其解决。</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建立政企沟通机制，应当充分尊重市场主体意愿，增强针对性和有效性，不得干扰市场主体正常生产经营活动，不得增加市场主体负担。</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第四十九条　政府及其有关部门应当建立便利、畅通的渠道，受理有关营商环境的投诉和举报。</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第五十条　新闻媒体应当及时、准确宣传优化营商环境的措施和成效，为优化营商环境创造良好舆论氛围。</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国家鼓励对营商环境进行舆论监督，但禁止捏造虚假信息或者歪曲事实进行不实报道。</w:t>
      </w:r>
      <w:r>
        <w:rPr>
          <w:rFonts w:hint="eastAsia" w:ascii="仿宋_GB2312" w:hAnsi="仿宋_GB2312" w:eastAsia="仿宋_GB2312" w:cs="仿宋_GB2312"/>
          <w:i w:val="0"/>
          <w:caps w:val="0"/>
          <w:color w:val="3366CC"/>
          <w:spacing w:val="0"/>
          <w:kern w:val="0"/>
          <w:sz w:val="32"/>
          <w:szCs w:val="32"/>
          <w:bdr w:val="none" w:color="auto" w:sz="0" w:space="0"/>
          <w:shd w:val="clear" w:fill="FFFFFF"/>
          <w:vertAlign w:val="baseline"/>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第五章　监管执法</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第五十一条　政府有关部门应当严格按照法律法规和职责，落实监管责任，明确监管对象和范围、厘清监管事权，依法对市场主体进行监管，实现监管全覆盖。</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第五十二条　国家健全公开透明的监管规则和标准体系。国务院有关部门应当分领域制定全国统一、简明易行的监管规则和标准，并向社会公开。</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第五十三条　政府及其有关部门应当按照国家关于加快构建以信用为基础的新型监管机制的要求，创新和完善信用监管，强化信用监管的支撑保障，加强信用监管的组织实施，不断提升信用监管效能。</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第五十四条　国家推行“双随机、一公开”监管，除直接涉及公共安全和人民群众生命健康等特殊行业、重点领域外，市场监管领域的行政检查应当通过随机抽取检查对象、随机选派执法检查人员、抽查事项及查处结果及时向社会公开的方式进行。针对同一检查对象的多个检查事项，应当尽可能合并或者纳入跨部门联合抽查范围。</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对直接涉及公共安全和人民群众生命健康等特殊行业、重点领域，依法依规实行全覆盖的重点监管，并严格规范重点监管的程序；对通过投诉举报、转办交办、数据监测等发现的问题，应当有针对性地进行检查并依法依规处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第五十五条　政府及其有关部门应当按照鼓励创新的原则，对新技术、新产业、新业态、新模式等实行包容审慎监管，针对其性质、特点分类制定和实行相应的监管规则和标准，留足发展空间，同时确保质量和安全，不得简单化予以禁止或者不予监管。</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第五十六条　政府及其有关部门应当充分运用互联网、大数据等技术手段，依托国家统一建立的在线监管系统，加强监管信息归集共享和关联整合，推行以远程监管、移动监管、预警防控为特征的非现场监管，提升监管的精准化、智能化水平。</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第五十七条　国家建立健全跨部门、跨区域行政执法联动响应和协作机制，实现违法线索互联、监管标准互通、处理结果互认。</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国家统筹配置行政执法职能和执法资源，在相关领域推行综合行政执法，整合精简执法队伍，减少执法主体和执法层级，提高基层执法能力。</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第五十八条　行政执法机关应当按照国家有关规定，全面落实行政执法公示、行政执法全过程记录和重大行政执法决定法制审核制度，实现行政执法信息及时准确公示、行政执法全过程留痕和可回溯管理、重大行政执法决定法制审核全覆盖。</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第五十九条　行政执法中应当推广运用说服教育、劝导示范、行政指导等非强制性手段，依法慎重实施行政强制。采用非强制性手段能够达到行政管理目的的，不得实施行政强制；违法行为情节轻微或者社会危害较小的，可以不实施行政强制；确需实施行政强制的，应当尽可能减少对市场主体正常生产经营活动的影响。</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开展清理整顿、专项整治等活动，应当严格依法进行，除涉及人民群众生命安全、发生重特大事故或者举办国家重大活动，并报经有权机关批准外，不得在相关区域采取要求相关行业、领域的市场主体普遍停产、停业的措施。</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禁止将罚没收入与行政执法机关利益挂钩。</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第六十条　国家健全行政执法自由裁量基准制度，合理确定裁量范围、种类和幅度，规范行政执法自由裁量权的行使。</w:t>
      </w:r>
      <w:r>
        <w:rPr>
          <w:rFonts w:hint="eastAsia" w:ascii="仿宋_GB2312" w:hAnsi="仿宋_GB2312" w:eastAsia="仿宋_GB2312" w:cs="仿宋_GB2312"/>
          <w:i w:val="0"/>
          <w:caps w:val="0"/>
          <w:color w:val="3366CC"/>
          <w:spacing w:val="0"/>
          <w:kern w:val="0"/>
          <w:sz w:val="32"/>
          <w:szCs w:val="32"/>
          <w:bdr w:val="none" w:color="auto" w:sz="0" w:space="0"/>
          <w:shd w:val="clear" w:fill="FFFFFF"/>
          <w:vertAlign w:val="baseline"/>
          <w:lang w:val="en-US" w:eastAsia="zh-CN" w:bidi="ar"/>
        </w:rPr>
        <w:t> </w:t>
      </w:r>
      <w:bookmarkEnd w:id="0"/>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第六章　法治保障</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第六十一条　国家根据优化营商环境需要，依照法定权限和程序及时制定或者修改、废止有关法律、法规、规章、行政规范性文件。</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优化营商环境的改革措施涉及调整实施现行法律、行政法规等有关规定的，依照法定程序经有权机关授权后，可以先行先试。</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第六十二条　制定与市场主体生产经营活动密切相关的行政法规、规章、行政规范性文件，应当按照国务院的规定，充分听取市场主体、行业协会商会的意见。</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除依法需要保密外，制定与市场主体生产经营活动密切相关的行政法规、规章、行政规范性文件，应当通过报纸、网络等向社会公开征求意见，并建立健全意见采纳情况反馈机制。向社会公开征求意见的期限一般不少于30日。</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第六十三条　制定与市场主体生产经营活动密切相关的行政法规、规章、行政规范性文件，应当按照国务院的规定进行公平竞争审查。</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制定涉及市场主体权利义务的行政规范性文件，应当按照国务院的规定进行合法性审核。</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市场主体认为地方性法规同行政法规相抵触，或者认为规章同法律、行政法规相抵触的，可以向国务院书面提出审查建议，由有关机关按照规定程序处理。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第六十四条　没有法律、法规或者国务院决定和命令依据的，行政规范性文件不得减损市场主体合法权益或者增加其义务，不得设置市场准入和退出条件，不得干预市场主体正常生产经营活动。</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涉及市场主体权利义务的行政规范性文件应当按照法定要求和程序予以公布，未经公布的不得作为行政管理依据。</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第六十五条　制定与市场主体生产经营活动密切相关的行政法规、规章、行政规范性文件，应当结合实际，确定是否为市场主体留出必要的适应调整期。</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政府及其有关部门应当统筹协调、合理把握规章、行政规范性文件等的出台节奏，全面评估政策效果，避免因政策叠加或者相互不协调对市场主体正常生产经营活动造成不利影响。</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第六十六条　国家完善调解、仲裁、行政裁决、行政复议、诉讼等有机衔接、相互协调的多元化纠纷解决机制，为市场主体提供高效、便捷的纠纷解决途径。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第六十七条　国家加强法治宣传教育，落实国家机关普法责任制，提高国家工作人员依法履职能力，引导市场主体合法经营、依法维护自身合法权益，不断增强全社会的法治意识，为营造法治化营商环境提供基础性支撑。</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第六十八条　政府及其有关部门应当整合律师、公证、司法鉴定、调解、仲裁等公共法律服务资源，加快推进公共法律服务体系建设，全面提升公共法律服务能力和水平，为优化营商环境提供全方位法律服务。</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第六十九条　政府和有关部门及其工作人员有下列情形之一的，依法依规追究责任：</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（一）违法干预应当由市场主体自主决策的事项；</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（二）制定或者实施政策措施不依法平等对待各类市场主体；</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（三）违反法定权限、条件、程序对市场主体的财产和企业经营者个人财产实施查封、冻结和扣押等行政强制措施；</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（四）在法律、法规规定之外要求市场主体提供财力、物力或者人力；</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（五）没有法律、法规依据，强制或者变相强制市场主体参加评比、达标、表彰、培训、考核、考试以及类似活动，或者借前述活动向市场主体收费或者变相收费；</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（六）违法设立或者在目录清单之外执行政府性基金、涉企行政事业性收费、涉企保证金；</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（七）不履行向市场主体依法作出的政策承诺以及依法订立的各类合同，或者违约拖欠市场主体的货物、工程、服务等账款；</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（八）变相设定或者实施行政许可，继续实施或者变相实施已取消的行政许可，或者转由行业协会商会或者其他组织实施已取消的行政许可；</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（九）为市场主体指定或者变相指定中介服务机构，或者违法强制市场主体接受中介服务；</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（十）制定与市场主体生产经营活动密切相关的行政法规、规章、行政规范性文件时，不按照规定听取市场主体、行业协会商会的意见；</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（十一）其他不履行优化营商环境职责或者损害营商环境的情形。</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第七十条　公用企事业单位有下列情形之一的，由有关部门责令改正，依法追究法律责任：</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（一）不向社会公开服务标准、资费标准、办理时限等信息；</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（二）强迫市场主体接受不合理的服务条件；</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（三）向市场主体收取不合理费用。</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第七十一条　行业协会商会、中介服务机构有下列情形之一的，由有关部门责令改正，依法追究法律责任：</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（一）违法开展收费、评比、认证等行为；</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（二）违法干预市场主体加入或者退出行业协会商会等社会组织；</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（三）没有法律、法规依据，强制或者变相强制市场主体参加评比、达标、表彰、培训、考核、考试以及类似活动，或者借前述活动向市场主体收费或者变相收费；</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（四）不向社会公开办理法定行政审批中介服务的条件、流程、时限、收费标准；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（五）违法强制或者变相强制市场主体接受中介服务。</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第七章　附　则</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第七十二条　本条例自2020年1月1日起施行。</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264F05"/>
    <w:rsid w:val="04010C6A"/>
    <w:rsid w:val="096A2521"/>
    <w:rsid w:val="09E87E5D"/>
    <w:rsid w:val="0C327619"/>
    <w:rsid w:val="0ED20AD9"/>
    <w:rsid w:val="103948FC"/>
    <w:rsid w:val="127C4EC4"/>
    <w:rsid w:val="24672AE1"/>
    <w:rsid w:val="270A1AA9"/>
    <w:rsid w:val="2C030FB2"/>
    <w:rsid w:val="2D151D65"/>
    <w:rsid w:val="30144F18"/>
    <w:rsid w:val="38EF2D0A"/>
    <w:rsid w:val="41264F05"/>
    <w:rsid w:val="4E1F2AD3"/>
    <w:rsid w:val="4F7C1510"/>
    <w:rsid w:val="59194701"/>
    <w:rsid w:val="5AFF5882"/>
    <w:rsid w:val="6DC44B26"/>
    <w:rsid w:val="7D29127E"/>
    <w:rsid w:val="7E0949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880" w:firstLineChars="200"/>
      <w:jc w:val="left"/>
    </w:pPr>
    <w:rPr>
      <w:rFonts w:ascii="Calibri" w:hAnsi="Calibri" w:eastAsia="仿宋_GB2312" w:cstheme="minorBidi"/>
      <w:kern w:val="2"/>
      <w:sz w:val="32"/>
    </w:rPr>
  </w:style>
  <w:style w:type="paragraph" w:styleId="2">
    <w:name w:val="heading 1"/>
    <w:basedOn w:val="1"/>
    <w:next w:val="1"/>
    <w:qFormat/>
    <w:uiPriority w:val="0"/>
    <w:pPr>
      <w:keepNext/>
      <w:keepLines/>
      <w:spacing w:beforeLines="0" w:beforeAutospacing="0" w:afterLines="0" w:afterAutospacing="0" w:line="640" w:lineRule="exact"/>
      <w:ind w:firstLine="0" w:firstLineChars="0"/>
      <w:jc w:val="center"/>
      <w:outlineLvl w:val="0"/>
    </w:pPr>
    <w:rPr>
      <w:rFonts w:eastAsia="方正小标宋简体"/>
      <w:kern w:val="44"/>
      <w:sz w:val="44"/>
    </w:rPr>
  </w:style>
  <w:style w:type="paragraph" w:styleId="3">
    <w:name w:val="heading 2"/>
    <w:basedOn w:val="1"/>
    <w:next w:val="1"/>
    <w:semiHidden/>
    <w:unhideWhenUsed/>
    <w:qFormat/>
    <w:uiPriority w:val="0"/>
    <w:pPr>
      <w:keepNext/>
      <w:keepLines/>
      <w:spacing w:beforeLines="0" w:beforeAutospacing="0" w:afterLines="0" w:afterAutospacing="0" w:line="240" w:lineRule="auto"/>
      <w:ind w:firstLine="880" w:firstLineChars="200"/>
      <w:jc w:val="left"/>
      <w:outlineLvl w:val="1"/>
    </w:pPr>
    <w:rPr>
      <w:rFonts w:ascii="Arial" w:hAnsi="Arial" w:eastAsia="黑体"/>
      <w:sz w:val="32"/>
      <w:szCs w:val="24"/>
      <w:lang w:val="en-US" w:eastAsia="zh-CN" w:bidi="ar-SA"/>
    </w:rPr>
  </w:style>
  <w:style w:type="paragraph" w:styleId="4">
    <w:name w:val="heading 3"/>
    <w:basedOn w:val="1"/>
    <w:next w:val="1"/>
    <w:link w:val="8"/>
    <w:semiHidden/>
    <w:unhideWhenUsed/>
    <w:qFormat/>
    <w:uiPriority w:val="0"/>
    <w:pPr>
      <w:spacing w:before="0" w:beforeAutospacing="0" w:after="0" w:afterAutospacing="0"/>
      <w:jc w:val="left"/>
      <w:outlineLvl w:val="2"/>
    </w:pPr>
    <w:rPr>
      <w:rFonts w:hint="eastAsia" w:ascii="宋体" w:hAnsi="宋体" w:eastAsia="楷体" w:cs="宋体"/>
      <w:b/>
      <w:kern w:val="0"/>
      <w:sz w:val="32"/>
      <w:szCs w:val="27"/>
      <w:lang w:val="en-US" w:eastAsia="zh-CN" w:bidi="ar"/>
    </w:rPr>
  </w:style>
  <w:style w:type="paragraph" w:styleId="5">
    <w:name w:val="heading 4"/>
    <w:basedOn w:val="1"/>
    <w:next w:val="1"/>
    <w:semiHidden/>
    <w:unhideWhenUsed/>
    <w:qFormat/>
    <w:uiPriority w:val="0"/>
    <w:pPr>
      <w:keepNext/>
      <w:keepLines/>
      <w:spacing w:beforeLines="0" w:beforeAutospacing="0" w:afterLines="0" w:afterAutospacing="0" w:line="240" w:lineRule="auto"/>
      <w:outlineLvl w:val="3"/>
    </w:pPr>
    <w:rPr>
      <w:rFonts w:ascii="Arial" w:hAnsi="Arial" w:eastAsia="仿宋_GB2312"/>
      <w:b/>
      <w:sz w:val="32"/>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character" w:customStyle="1" w:styleId="8">
    <w:name w:val="标题 3 Char"/>
    <w:link w:val="4"/>
    <w:qFormat/>
    <w:uiPriority w:val="0"/>
    <w:rPr>
      <w:rFonts w:eastAsia="楷体" w:asciiTheme="minorAscii" w:hAnsiTheme="minorAscii"/>
      <w:b/>
      <w:sz w:val="32"/>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2020-01-10T01:36:00Z</dcterms:created>
  <dc:creator>laurel</dc:creator>
  <cp:lastModifiedBy>laurel</cp:lastModifiedBy>
  <dcterms:modified xsi:type="dcterms:W3CDTF">2020-01-10T01:38:21Z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